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CD" w:rsidRDefault="00A403CD" w:rsidP="00BA492A">
      <w:pPr>
        <w:rPr>
          <w:sz w:val="36"/>
          <w:szCs w:val="36"/>
        </w:rPr>
      </w:pPr>
      <w:r>
        <w:rPr>
          <w:noProof/>
          <w:sz w:val="36"/>
          <w:szCs w:val="36"/>
        </w:rPr>
        <w:drawing>
          <wp:anchor distT="0" distB="0" distL="114300" distR="114300" simplePos="0" relativeHeight="251658240" behindDoc="1" locked="0" layoutInCell="1" allowOverlap="1">
            <wp:simplePos x="0" y="0"/>
            <wp:positionH relativeFrom="column">
              <wp:posOffset>2015490</wp:posOffset>
            </wp:positionH>
            <wp:positionV relativeFrom="paragraph">
              <wp:posOffset>-461645</wp:posOffset>
            </wp:positionV>
            <wp:extent cx="923925" cy="476250"/>
            <wp:effectExtent l="19050" t="0" r="9525" b="0"/>
            <wp:wrapNone/>
            <wp:docPr id="3" name="Image 1" descr="C:\Users\FORMATION\Desktop\flashTravail\rec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MATION\Desktop\flashTravail\recent\LOGO.jpg"/>
                    <pic:cNvPicPr>
                      <a:picLocks noChangeAspect="1" noChangeArrowheads="1"/>
                    </pic:cNvPicPr>
                  </pic:nvPicPr>
                  <pic:blipFill>
                    <a:blip r:embed="rId5"/>
                    <a:srcRect/>
                    <a:stretch>
                      <a:fillRect/>
                    </a:stretch>
                  </pic:blipFill>
                  <pic:spPr bwMode="auto">
                    <a:xfrm>
                      <a:off x="0" y="0"/>
                      <a:ext cx="923925" cy="476250"/>
                    </a:xfrm>
                    <a:prstGeom prst="rect">
                      <a:avLst/>
                    </a:prstGeom>
                    <a:noFill/>
                    <a:ln w="9525">
                      <a:noFill/>
                      <a:miter lim="800000"/>
                      <a:headEnd/>
                      <a:tailEnd/>
                    </a:ln>
                  </pic:spPr>
                </pic:pic>
              </a:graphicData>
            </a:graphic>
          </wp:anchor>
        </w:drawing>
      </w:r>
      <w:r w:rsidR="00BA492A">
        <w:rPr>
          <w:sz w:val="36"/>
          <w:szCs w:val="36"/>
        </w:rPr>
        <w:t xml:space="preserve">            </w:t>
      </w:r>
      <w:r w:rsidRPr="00A403CD">
        <w:rPr>
          <w:sz w:val="36"/>
          <w:szCs w:val="36"/>
        </w:rPr>
        <w:t>Chambre de commerce et d’industrie</w:t>
      </w:r>
      <w:r>
        <w:rPr>
          <w:sz w:val="36"/>
          <w:szCs w:val="36"/>
        </w:rPr>
        <w:t xml:space="preserve"> </w:t>
      </w:r>
      <w:r w:rsidRPr="00A403CD">
        <w:rPr>
          <w:sz w:val="36"/>
          <w:szCs w:val="36"/>
        </w:rPr>
        <w:t xml:space="preserve">Rhumel </w:t>
      </w:r>
    </w:p>
    <w:p w:rsidR="00BA492A" w:rsidRDefault="00BA492A" w:rsidP="00BA492A">
      <w:pPr>
        <w:rPr>
          <w:sz w:val="36"/>
          <w:szCs w:val="36"/>
        </w:rPr>
      </w:pPr>
      <w:r>
        <w:rPr>
          <w:sz w:val="36"/>
          <w:szCs w:val="36"/>
        </w:rPr>
        <w:t xml:space="preserve">                                         Organise </w:t>
      </w:r>
    </w:p>
    <w:p w:rsidR="00A403CD" w:rsidRPr="00A403CD" w:rsidRDefault="00BA492A" w:rsidP="00A403CD">
      <w:pPr>
        <w:ind w:hanging="1080"/>
        <w:jc w:val="center"/>
        <w:rPr>
          <w:b/>
          <w:bCs/>
          <w:i/>
          <w:iCs/>
          <w:sz w:val="40"/>
          <w:szCs w:val="40"/>
        </w:rPr>
      </w:pPr>
      <w:r>
        <w:rPr>
          <w:b/>
          <w:bCs/>
          <w:i/>
          <w:iCs/>
          <w:sz w:val="40"/>
          <w:szCs w:val="40"/>
        </w:rPr>
        <w:t xml:space="preserve">        </w:t>
      </w:r>
      <w:r w:rsidR="00A403CD" w:rsidRPr="00A403CD">
        <w:rPr>
          <w:b/>
          <w:bCs/>
          <w:i/>
          <w:iCs/>
          <w:sz w:val="40"/>
          <w:szCs w:val="40"/>
        </w:rPr>
        <w:t>Séminaire sur la négociation</w:t>
      </w:r>
    </w:p>
    <w:p w:rsidR="00A403CD" w:rsidRDefault="00BA492A" w:rsidP="00A403CD">
      <w:pPr>
        <w:ind w:hanging="1080"/>
        <w:jc w:val="center"/>
        <w:rPr>
          <w:b/>
          <w:bCs/>
          <w:i/>
          <w:iCs/>
          <w:color w:val="FF0000"/>
          <w:sz w:val="52"/>
          <w:szCs w:val="52"/>
        </w:rPr>
      </w:pPr>
      <w:r>
        <w:rPr>
          <w:b/>
          <w:bCs/>
          <w:i/>
          <w:iCs/>
          <w:color w:val="FF0000"/>
          <w:sz w:val="52"/>
          <w:szCs w:val="52"/>
        </w:rPr>
        <w:t xml:space="preserve">         </w:t>
      </w:r>
      <w:r w:rsidR="00A403CD" w:rsidRPr="00A403CD">
        <w:rPr>
          <w:b/>
          <w:bCs/>
          <w:i/>
          <w:iCs/>
          <w:color w:val="FF0000"/>
          <w:sz w:val="52"/>
          <w:szCs w:val="52"/>
        </w:rPr>
        <w:t>« Des Contrats internationaux »</w:t>
      </w:r>
    </w:p>
    <w:p w:rsidR="00A403CD" w:rsidRDefault="00A403CD" w:rsidP="00A403CD">
      <w:pPr>
        <w:spacing w:before="100" w:beforeAutospacing="1" w:after="100" w:afterAutospacing="1" w:line="240" w:lineRule="auto"/>
        <w:rPr>
          <w:rFonts w:ascii="Arial" w:hAnsi="Arial"/>
          <w:sz w:val="28"/>
          <w:szCs w:val="28"/>
        </w:rPr>
      </w:pPr>
      <w:r w:rsidRPr="00A403CD">
        <w:rPr>
          <w:rFonts w:ascii="Arial" w:hAnsi="Arial"/>
          <w:sz w:val="28"/>
          <w:szCs w:val="28"/>
        </w:rPr>
        <w:t>La négociation et la rédaction d’un contrat de qualité, permettant le maintien de relations professionnelles sur le long terme, requièrent la mise en œuvre de compétences et de techniques spécifiques qui doivent faire l’objet d’un enseignement particulier, à l’image de la gestion de « l’après-contrat » et de la maîtrise des différents modes de résolutions des conflits.</w:t>
      </w:r>
    </w:p>
    <w:p w:rsidR="00B32559" w:rsidRPr="00C4579A" w:rsidRDefault="00B32559" w:rsidP="00B32559">
      <w:pPr>
        <w:spacing w:before="100" w:beforeAutospacing="1" w:after="100" w:afterAutospacing="1" w:line="240" w:lineRule="auto"/>
        <w:ind w:left="-851"/>
        <w:rPr>
          <w:rFonts w:ascii="Arial" w:hAnsi="Arial"/>
          <w:b/>
          <w:bCs/>
          <w:color w:val="E36C0A" w:themeColor="accent6" w:themeShade="BF"/>
          <w:sz w:val="32"/>
          <w:szCs w:val="32"/>
        </w:rPr>
      </w:pPr>
      <w:r w:rsidRPr="00C4579A">
        <w:rPr>
          <w:rFonts w:ascii="Arial" w:hAnsi="Arial"/>
          <w:b/>
          <w:bCs/>
          <w:color w:val="E36C0A" w:themeColor="accent6" w:themeShade="BF"/>
          <w:sz w:val="32"/>
          <w:szCs w:val="32"/>
        </w:rPr>
        <w:t>Objectifs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 xml:space="preserve">Acquérir les compétences nécessaires à la négociation et à la rédaction d’un contrat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 xml:space="preserve">Les stratégies et techniques de négociations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L’usage des clauses types d’ICC</w:t>
      </w:r>
      <w:r w:rsidRPr="00B32559">
        <w:rPr>
          <w:rFonts w:ascii="Arial" w:hAnsi="Arial"/>
          <w:color w:val="FFFFFF"/>
          <w:sz w:val="28"/>
          <w:szCs w:val="28"/>
        </w:rPr>
        <w:t xml:space="preserve">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 xml:space="preserve">L’apprentissage de techniques de prévention et de résolution des conflits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 xml:space="preserve">Mesurer l’importance des différences culturelles et juridiques dans un contexte international afin d’éviter les malentendus </w:t>
      </w:r>
    </w:p>
    <w:p w:rsidR="00B32559" w:rsidRPr="00B32559" w:rsidRDefault="00B32559" w:rsidP="00B32559">
      <w:pPr>
        <w:pStyle w:val="Paragraphedeliste"/>
        <w:numPr>
          <w:ilvl w:val="0"/>
          <w:numId w:val="2"/>
        </w:numPr>
        <w:spacing w:before="100" w:beforeAutospacing="1" w:after="100" w:afterAutospacing="1" w:line="240" w:lineRule="auto"/>
        <w:ind w:left="284" w:hanging="284"/>
        <w:rPr>
          <w:rFonts w:ascii="Arial" w:hAnsi="Arial"/>
          <w:color w:val="FFFFFF"/>
          <w:sz w:val="28"/>
          <w:szCs w:val="28"/>
        </w:rPr>
      </w:pPr>
      <w:r w:rsidRPr="00B32559">
        <w:rPr>
          <w:rFonts w:ascii="Arial" w:hAnsi="Arial"/>
          <w:color w:val="000000"/>
          <w:sz w:val="28"/>
          <w:szCs w:val="28"/>
        </w:rPr>
        <w:t>Application pratique, par l’étude d’un cas pratique, en petits groupes de travail d’une dizaine de participants.</w:t>
      </w:r>
    </w:p>
    <w:p w:rsidR="00B32559" w:rsidRPr="00C4579A" w:rsidRDefault="00B32559" w:rsidP="00B32559">
      <w:pPr>
        <w:spacing w:before="100" w:beforeAutospacing="1" w:after="100" w:afterAutospacing="1" w:line="240" w:lineRule="auto"/>
        <w:ind w:left="-851"/>
        <w:rPr>
          <w:rFonts w:ascii="Arial" w:hAnsi="Arial"/>
          <w:b/>
          <w:bCs/>
          <w:color w:val="E36C0A" w:themeColor="accent6" w:themeShade="BF"/>
          <w:sz w:val="32"/>
          <w:szCs w:val="32"/>
        </w:rPr>
      </w:pPr>
      <w:r w:rsidRPr="00C4579A">
        <w:rPr>
          <w:rFonts w:ascii="Arial" w:hAnsi="Arial"/>
          <w:b/>
          <w:bCs/>
          <w:color w:val="E36C0A" w:themeColor="accent6" w:themeShade="BF"/>
          <w:sz w:val="32"/>
          <w:szCs w:val="32"/>
        </w:rPr>
        <w:t>A qui s'adresse cette formation?</w:t>
      </w:r>
    </w:p>
    <w:p w:rsidR="00B32559" w:rsidRPr="00B32559" w:rsidRDefault="00B32559" w:rsidP="00B32559">
      <w:pPr>
        <w:pStyle w:val="Paragraphedeliste"/>
        <w:numPr>
          <w:ilvl w:val="0"/>
          <w:numId w:val="4"/>
        </w:numPr>
        <w:spacing w:before="100" w:beforeAutospacing="1" w:after="100" w:afterAutospacing="1" w:line="240" w:lineRule="auto"/>
        <w:ind w:left="284" w:hanging="284"/>
        <w:rPr>
          <w:rFonts w:ascii="Arial" w:hAnsi="Arial"/>
          <w:sz w:val="28"/>
          <w:szCs w:val="28"/>
        </w:rPr>
      </w:pPr>
      <w:r w:rsidRPr="00B32559">
        <w:rPr>
          <w:rFonts w:ascii="Arial" w:hAnsi="Arial"/>
          <w:sz w:val="28"/>
          <w:szCs w:val="28"/>
        </w:rPr>
        <w:t xml:space="preserve">Directeurs juridiques et juristes d’entreprise ayant des activités liées au commerce international </w:t>
      </w:r>
    </w:p>
    <w:p w:rsidR="00B32559" w:rsidRPr="00B32559" w:rsidRDefault="00B32559" w:rsidP="00B32559">
      <w:pPr>
        <w:pStyle w:val="Paragraphedeliste"/>
        <w:numPr>
          <w:ilvl w:val="0"/>
          <w:numId w:val="4"/>
        </w:numPr>
        <w:spacing w:before="100" w:beforeAutospacing="1" w:after="100" w:afterAutospacing="1" w:line="240" w:lineRule="auto"/>
        <w:ind w:left="284" w:hanging="284"/>
        <w:rPr>
          <w:rFonts w:ascii="Arial" w:hAnsi="Arial"/>
          <w:sz w:val="28"/>
          <w:szCs w:val="28"/>
        </w:rPr>
      </w:pPr>
      <w:r w:rsidRPr="00B32559">
        <w:rPr>
          <w:rFonts w:ascii="Arial" w:hAnsi="Arial"/>
          <w:sz w:val="28"/>
          <w:szCs w:val="28"/>
        </w:rPr>
        <w:t xml:space="preserve">Avocats –notaires </w:t>
      </w:r>
    </w:p>
    <w:p w:rsidR="00B32559" w:rsidRPr="00B32559" w:rsidRDefault="00B32559" w:rsidP="00B32559">
      <w:pPr>
        <w:pStyle w:val="Paragraphedeliste"/>
        <w:numPr>
          <w:ilvl w:val="0"/>
          <w:numId w:val="4"/>
        </w:numPr>
        <w:spacing w:before="100" w:beforeAutospacing="1" w:after="100" w:afterAutospacing="1" w:line="240" w:lineRule="auto"/>
        <w:ind w:left="284" w:hanging="284"/>
        <w:rPr>
          <w:rFonts w:ascii="Arial" w:hAnsi="Arial"/>
          <w:sz w:val="28"/>
          <w:szCs w:val="28"/>
        </w:rPr>
      </w:pPr>
      <w:r w:rsidRPr="00B32559">
        <w:rPr>
          <w:rFonts w:ascii="Arial" w:hAnsi="Arial"/>
          <w:sz w:val="28"/>
          <w:szCs w:val="28"/>
        </w:rPr>
        <w:t xml:space="preserve">Négociateurs et rédacteurs de contrats internationaux </w:t>
      </w:r>
    </w:p>
    <w:p w:rsidR="00B32559" w:rsidRPr="00B32559" w:rsidRDefault="00B32559" w:rsidP="00B32559">
      <w:pPr>
        <w:pStyle w:val="Paragraphedeliste"/>
        <w:numPr>
          <w:ilvl w:val="0"/>
          <w:numId w:val="4"/>
        </w:numPr>
        <w:spacing w:before="100" w:beforeAutospacing="1" w:after="100" w:afterAutospacing="1" w:line="240" w:lineRule="auto"/>
        <w:ind w:left="284" w:hanging="284"/>
        <w:rPr>
          <w:rFonts w:ascii="Arial" w:hAnsi="Arial"/>
          <w:sz w:val="28"/>
          <w:szCs w:val="28"/>
        </w:rPr>
      </w:pPr>
      <w:r w:rsidRPr="00B32559">
        <w:rPr>
          <w:rFonts w:ascii="Arial" w:hAnsi="Arial"/>
          <w:sz w:val="28"/>
          <w:szCs w:val="28"/>
        </w:rPr>
        <w:t>Toutes personnes impliquées dans le commerce international et les modes de résolution des conflits</w:t>
      </w:r>
    </w:p>
    <w:p w:rsidR="00B32559" w:rsidRPr="00B32559" w:rsidRDefault="00B32559" w:rsidP="00B32559">
      <w:pPr>
        <w:pStyle w:val="Paragraphedeliste"/>
        <w:spacing w:before="100" w:beforeAutospacing="1" w:after="100" w:afterAutospacing="1" w:line="240" w:lineRule="auto"/>
        <w:ind w:left="284"/>
        <w:rPr>
          <w:rFonts w:ascii="Arial" w:hAnsi="Arial"/>
          <w:sz w:val="28"/>
          <w:szCs w:val="28"/>
        </w:rPr>
      </w:pPr>
    </w:p>
    <w:p w:rsidR="00A403CD" w:rsidRPr="00A403CD" w:rsidRDefault="00A403CD" w:rsidP="00485E97">
      <w:pPr>
        <w:rPr>
          <w:i/>
          <w:iCs/>
          <w:sz w:val="56"/>
          <w:szCs w:val="56"/>
        </w:rPr>
      </w:pPr>
    </w:p>
    <w:p w:rsidR="00A403CD" w:rsidRDefault="00A403CD" w:rsidP="00B32559">
      <w:pPr>
        <w:ind w:left="-567" w:hanging="284"/>
        <w:rPr>
          <w:b/>
          <w:bCs/>
          <w:color w:val="E36C0A" w:themeColor="accent6" w:themeShade="BF"/>
          <w:sz w:val="44"/>
          <w:szCs w:val="40"/>
          <w:lang w:val="fr-BE"/>
        </w:rPr>
      </w:pPr>
      <w:r w:rsidRPr="003F0902">
        <w:rPr>
          <w:b/>
          <w:bCs/>
          <w:color w:val="E36C0A" w:themeColor="accent6" w:themeShade="BF"/>
          <w:sz w:val="44"/>
          <w:szCs w:val="40"/>
          <w:lang w:val="fr-BE"/>
        </w:rPr>
        <w:lastRenderedPageBreak/>
        <w:t>Programme</w:t>
      </w:r>
      <w:r>
        <w:rPr>
          <w:b/>
          <w:bCs/>
          <w:color w:val="E36C0A" w:themeColor="accent6" w:themeShade="BF"/>
          <w:sz w:val="44"/>
          <w:szCs w:val="40"/>
          <w:lang w:val="fr-BE"/>
        </w:rPr>
        <w:t> :</w:t>
      </w:r>
    </w:p>
    <w:p w:rsidR="003B27C6" w:rsidRPr="003B27C6" w:rsidRDefault="003B27C6" w:rsidP="003B27C6">
      <w:pPr>
        <w:pStyle w:val="Titre1"/>
        <w:numPr>
          <w:ilvl w:val="0"/>
          <w:numId w:val="5"/>
        </w:numPr>
        <w:rPr>
          <w:rFonts w:ascii="Arial" w:hAnsi="Arial" w:cs="Arial"/>
          <w:b w:val="0"/>
          <w:bCs w:val="0"/>
          <w:sz w:val="28"/>
          <w:szCs w:val="28"/>
        </w:rPr>
      </w:pPr>
      <w:r w:rsidRPr="003B27C6">
        <w:rPr>
          <w:rFonts w:ascii="Arial" w:hAnsi="Arial" w:cs="Arial"/>
          <w:b w:val="0"/>
          <w:bCs w:val="0"/>
          <w:sz w:val="28"/>
          <w:szCs w:val="28"/>
        </w:rPr>
        <w:t xml:space="preserve">Présentation de la réforme du code civil de 2005   </w:t>
      </w:r>
    </w:p>
    <w:p w:rsidR="003B27C6" w:rsidRP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La définition du contrat international</w:t>
      </w:r>
    </w:p>
    <w:p w:rsid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 xml:space="preserve">La notion de </w:t>
      </w:r>
      <w:proofErr w:type="spellStart"/>
      <w:r w:rsidRPr="003B27C6">
        <w:rPr>
          <w:rFonts w:ascii="Arial" w:hAnsi="Arial"/>
          <w:sz w:val="28"/>
          <w:szCs w:val="28"/>
        </w:rPr>
        <w:t>co-contractant</w:t>
      </w:r>
      <w:proofErr w:type="spellEnd"/>
      <w:r w:rsidRPr="003B27C6">
        <w:rPr>
          <w:rFonts w:ascii="Arial" w:hAnsi="Arial"/>
          <w:sz w:val="28"/>
          <w:szCs w:val="28"/>
        </w:rPr>
        <w:t xml:space="preserve"> étranger </w:t>
      </w:r>
    </w:p>
    <w:p w:rsidR="003B27C6" w:rsidRP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 xml:space="preserve"> La nouvelle définition du </w:t>
      </w:r>
      <w:proofErr w:type="spellStart"/>
      <w:r w:rsidRPr="003B27C6">
        <w:rPr>
          <w:rFonts w:ascii="Arial" w:hAnsi="Arial"/>
          <w:sz w:val="28"/>
          <w:szCs w:val="28"/>
        </w:rPr>
        <w:t>co</w:t>
      </w:r>
      <w:proofErr w:type="spellEnd"/>
      <w:r w:rsidRPr="003B27C6">
        <w:rPr>
          <w:rFonts w:ascii="Arial" w:hAnsi="Arial"/>
          <w:sz w:val="28"/>
          <w:szCs w:val="28"/>
        </w:rPr>
        <w:t xml:space="preserve"> contractant étranger.</w:t>
      </w:r>
    </w:p>
    <w:p w:rsidR="003B27C6" w:rsidRP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La notion d’entreprise de  droit étranger :</w:t>
      </w:r>
    </w:p>
    <w:p w:rsidR="003B27C6" w:rsidRP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 xml:space="preserve">Le  code des investissements. </w:t>
      </w:r>
    </w:p>
    <w:p w:rsidR="003B27C6" w:rsidRPr="003B27C6" w:rsidRDefault="003B27C6" w:rsidP="003B27C6">
      <w:pPr>
        <w:pStyle w:val="Paragraphedeliste"/>
        <w:numPr>
          <w:ilvl w:val="0"/>
          <w:numId w:val="6"/>
        </w:numPr>
        <w:spacing w:after="0" w:line="240" w:lineRule="auto"/>
        <w:rPr>
          <w:rFonts w:ascii="Arial" w:hAnsi="Arial"/>
          <w:sz w:val="28"/>
          <w:szCs w:val="28"/>
        </w:rPr>
      </w:pPr>
      <w:r w:rsidRPr="003B27C6">
        <w:rPr>
          <w:rFonts w:ascii="Arial" w:hAnsi="Arial"/>
          <w:sz w:val="28"/>
          <w:szCs w:val="28"/>
        </w:rPr>
        <w:t xml:space="preserve">La notion de nationalité des dirigeants et nationalité de l’entreprise : des notions </w:t>
      </w:r>
      <w:r w:rsidR="00BA52CC" w:rsidRPr="003B27C6">
        <w:rPr>
          <w:rFonts w:ascii="Arial" w:hAnsi="Arial"/>
          <w:sz w:val="28"/>
          <w:szCs w:val="28"/>
        </w:rPr>
        <w:t>superfétatoires,</w:t>
      </w:r>
      <w:r w:rsidRPr="003B27C6">
        <w:rPr>
          <w:rFonts w:ascii="Arial" w:hAnsi="Arial"/>
          <w:sz w:val="28"/>
          <w:szCs w:val="28"/>
        </w:rPr>
        <w:t xml:space="preserve"> </w:t>
      </w:r>
      <w:r w:rsidR="00BA52CC" w:rsidRPr="003B27C6">
        <w:rPr>
          <w:rFonts w:ascii="Arial" w:hAnsi="Arial"/>
          <w:sz w:val="28"/>
          <w:szCs w:val="28"/>
        </w:rPr>
        <w:t>dépassées.</w:t>
      </w:r>
    </w:p>
    <w:p w:rsidR="003B27C6" w:rsidRPr="003B27C6" w:rsidRDefault="003B27C6" w:rsidP="003B27C6">
      <w:pPr>
        <w:pStyle w:val="Titre1"/>
        <w:ind w:left="-284"/>
        <w:rPr>
          <w:rFonts w:ascii="Arial" w:hAnsi="Arial" w:cs="Arial"/>
          <w:b w:val="0"/>
          <w:bCs w:val="0"/>
          <w:sz w:val="28"/>
          <w:szCs w:val="28"/>
        </w:rPr>
      </w:pPr>
      <w:r w:rsidRPr="003B27C6">
        <w:rPr>
          <w:rFonts w:ascii="Arial" w:hAnsi="Arial" w:cs="Arial"/>
          <w:b w:val="0"/>
          <w:bCs w:val="0"/>
          <w:sz w:val="28"/>
          <w:szCs w:val="28"/>
        </w:rPr>
        <w:t xml:space="preserve">   </w:t>
      </w:r>
    </w:p>
    <w:p w:rsidR="003B27C6" w:rsidRPr="003B27C6" w:rsidRDefault="003B27C6" w:rsidP="003B27C6">
      <w:pPr>
        <w:pStyle w:val="Titre1"/>
        <w:numPr>
          <w:ilvl w:val="0"/>
          <w:numId w:val="5"/>
        </w:numPr>
        <w:rPr>
          <w:rFonts w:ascii="Arial" w:hAnsi="Arial" w:cs="Arial"/>
          <w:b w:val="0"/>
          <w:bCs w:val="0"/>
          <w:sz w:val="28"/>
          <w:szCs w:val="28"/>
        </w:rPr>
      </w:pPr>
      <w:r w:rsidRPr="003B27C6">
        <w:rPr>
          <w:rFonts w:ascii="Arial" w:hAnsi="Arial" w:cs="Arial"/>
          <w:b w:val="0"/>
          <w:bCs w:val="0"/>
          <w:sz w:val="28"/>
          <w:szCs w:val="28"/>
        </w:rPr>
        <w:t>Les nouvelles règles de détermination de droit applicable aux contrats internationaux.</w:t>
      </w:r>
    </w:p>
    <w:p w:rsidR="003B27C6" w:rsidRPr="003B27C6" w:rsidRDefault="003B27C6" w:rsidP="003B27C6">
      <w:pPr>
        <w:spacing w:after="0" w:line="240" w:lineRule="auto"/>
        <w:ind w:left="-284"/>
        <w:rPr>
          <w:rFonts w:ascii="Arial" w:hAnsi="Arial"/>
          <w:sz w:val="28"/>
          <w:szCs w:val="28"/>
        </w:rPr>
      </w:pPr>
      <w:r w:rsidRPr="003B27C6">
        <w:rPr>
          <w:rFonts w:ascii="Arial" w:hAnsi="Arial"/>
          <w:sz w:val="28"/>
          <w:szCs w:val="28"/>
        </w:rPr>
        <w:t xml:space="preserve">         </w:t>
      </w:r>
    </w:p>
    <w:p w:rsidR="003B27C6" w:rsidRPr="003B27C6" w:rsidRDefault="003B27C6" w:rsidP="003B27C6">
      <w:pPr>
        <w:pStyle w:val="Paragraphedeliste"/>
        <w:numPr>
          <w:ilvl w:val="0"/>
          <w:numId w:val="5"/>
        </w:numPr>
        <w:spacing w:after="0" w:line="240" w:lineRule="auto"/>
        <w:rPr>
          <w:rFonts w:ascii="Arial" w:hAnsi="Arial"/>
          <w:sz w:val="28"/>
          <w:szCs w:val="28"/>
        </w:rPr>
      </w:pPr>
      <w:r w:rsidRPr="003B27C6">
        <w:rPr>
          <w:rFonts w:ascii="Arial" w:hAnsi="Arial"/>
          <w:sz w:val="28"/>
          <w:szCs w:val="28"/>
        </w:rPr>
        <w:t>La négociation et la rédaction d’un contrat international compte tenu des nouvelles règles du code civil.</w:t>
      </w:r>
    </w:p>
    <w:p w:rsidR="003B27C6" w:rsidRPr="003B27C6" w:rsidRDefault="003B27C6" w:rsidP="003B27C6">
      <w:pPr>
        <w:spacing w:after="0" w:line="240" w:lineRule="auto"/>
        <w:ind w:left="-284"/>
        <w:rPr>
          <w:rFonts w:ascii="Arial" w:hAnsi="Arial"/>
          <w:sz w:val="28"/>
          <w:szCs w:val="28"/>
        </w:rPr>
      </w:pPr>
    </w:p>
    <w:p w:rsidR="003B27C6" w:rsidRPr="003B27C6" w:rsidRDefault="003B27C6" w:rsidP="003B27C6">
      <w:pPr>
        <w:pStyle w:val="Paragraphedeliste"/>
        <w:numPr>
          <w:ilvl w:val="0"/>
          <w:numId w:val="5"/>
        </w:numPr>
        <w:spacing w:after="0" w:line="240" w:lineRule="auto"/>
        <w:rPr>
          <w:rFonts w:ascii="Arial" w:hAnsi="Arial"/>
          <w:sz w:val="28"/>
          <w:szCs w:val="28"/>
        </w:rPr>
      </w:pPr>
      <w:r w:rsidRPr="003B27C6">
        <w:rPr>
          <w:rFonts w:ascii="Arial" w:hAnsi="Arial"/>
          <w:sz w:val="28"/>
          <w:szCs w:val="28"/>
        </w:rPr>
        <w:t>Les contrats internationaux de marchés publics :</w:t>
      </w:r>
    </w:p>
    <w:p w:rsidR="003B27C6" w:rsidRPr="003B27C6" w:rsidRDefault="003B27C6" w:rsidP="003B27C6">
      <w:pPr>
        <w:pStyle w:val="Paragraphedeliste"/>
        <w:numPr>
          <w:ilvl w:val="0"/>
          <w:numId w:val="7"/>
        </w:numPr>
        <w:spacing w:after="0" w:line="240" w:lineRule="auto"/>
        <w:rPr>
          <w:rFonts w:ascii="Arial" w:hAnsi="Arial"/>
          <w:sz w:val="28"/>
          <w:szCs w:val="28"/>
        </w:rPr>
      </w:pPr>
      <w:r w:rsidRPr="003B27C6">
        <w:rPr>
          <w:rFonts w:ascii="Arial" w:hAnsi="Arial"/>
          <w:sz w:val="28"/>
          <w:szCs w:val="28"/>
        </w:rPr>
        <w:t>Définition de l’opérateur étranger dans</w:t>
      </w:r>
      <w:r>
        <w:rPr>
          <w:rFonts w:ascii="Arial" w:hAnsi="Arial"/>
          <w:sz w:val="28"/>
          <w:szCs w:val="28"/>
        </w:rPr>
        <w:t xml:space="preserve"> le nouveau code des marchés </w:t>
      </w:r>
      <w:r w:rsidRPr="003B27C6">
        <w:rPr>
          <w:rFonts w:ascii="Arial" w:hAnsi="Arial"/>
          <w:sz w:val="28"/>
          <w:szCs w:val="28"/>
        </w:rPr>
        <w:t xml:space="preserve"> </w:t>
      </w:r>
      <w:r w:rsidR="00BA52CC" w:rsidRPr="003B27C6">
        <w:rPr>
          <w:rFonts w:ascii="Arial" w:hAnsi="Arial"/>
          <w:sz w:val="28"/>
          <w:szCs w:val="28"/>
        </w:rPr>
        <w:t>publics.</w:t>
      </w:r>
    </w:p>
    <w:p w:rsidR="003B27C6" w:rsidRPr="003B27C6" w:rsidRDefault="003B27C6" w:rsidP="003B27C6">
      <w:pPr>
        <w:pStyle w:val="Paragraphedeliste"/>
        <w:numPr>
          <w:ilvl w:val="0"/>
          <w:numId w:val="7"/>
        </w:numPr>
        <w:spacing w:after="0" w:line="240" w:lineRule="auto"/>
        <w:rPr>
          <w:rFonts w:ascii="Arial" w:hAnsi="Arial"/>
          <w:sz w:val="28"/>
          <w:szCs w:val="28"/>
        </w:rPr>
      </w:pPr>
      <w:r w:rsidRPr="003B27C6">
        <w:rPr>
          <w:rFonts w:ascii="Arial" w:hAnsi="Arial"/>
          <w:sz w:val="28"/>
          <w:szCs w:val="28"/>
        </w:rPr>
        <w:t>Les spécificités des marchés publics impliquant des opérateurs étrangers.</w:t>
      </w:r>
    </w:p>
    <w:p w:rsidR="003B27C6" w:rsidRPr="003B27C6" w:rsidRDefault="003B27C6" w:rsidP="003B27C6">
      <w:pPr>
        <w:spacing w:after="0" w:line="240" w:lineRule="auto"/>
        <w:ind w:left="-284"/>
        <w:rPr>
          <w:rFonts w:ascii="Arial" w:hAnsi="Arial"/>
          <w:sz w:val="28"/>
          <w:szCs w:val="28"/>
        </w:rPr>
      </w:pPr>
      <w:r w:rsidRPr="003B27C6">
        <w:rPr>
          <w:rFonts w:ascii="Arial" w:hAnsi="Arial"/>
          <w:sz w:val="28"/>
          <w:szCs w:val="28"/>
        </w:rPr>
        <w:t xml:space="preserve">              </w:t>
      </w:r>
    </w:p>
    <w:p w:rsidR="003B27C6" w:rsidRPr="003B27C6" w:rsidRDefault="003B27C6" w:rsidP="003B27C6">
      <w:pPr>
        <w:pStyle w:val="Paragraphedeliste"/>
        <w:numPr>
          <w:ilvl w:val="0"/>
          <w:numId w:val="8"/>
        </w:numPr>
        <w:spacing w:after="0" w:line="240" w:lineRule="auto"/>
        <w:rPr>
          <w:rFonts w:ascii="Arial" w:hAnsi="Arial"/>
          <w:sz w:val="28"/>
          <w:szCs w:val="28"/>
        </w:rPr>
      </w:pPr>
      <w:r w:rsidRPr="003B27C6">
        <w:rPr>
          <w:rFonts w:ascii="Arial" w:hAnsi="Arial"/>
          <w:sz w:val="28"/>
          <w:szCs w:val="28"/>
        </w:rPr>
        <w:t xml:space="preserve">La rédaction de quelques clauses particulières : </w:t>
      </w:r>
    </w:p>
    <w:p w:rsidR="003B27C6" w:rsidRPr="003B27C6" w:rsidRDefault="003B27C6" w:rsidP="003B27C6">
      <w:pPr>
        <w:pStyle w:val="Paragraphedeliste"/>
        <w:numPr>
          <w:ilvl w:val="0"/>
          <w:numId w:val="9"/>
        </w:numPr>
        <w:spacing w:after="0" w:line="240" w:lineRule="auto"/>
        <w:rPr>
          <w:rFonts w:ascii="Arial" w:hAnsi="Arial"/>
          <w:sz w:val="28"/>
          <w:szCs w:val="28"/>
        </w:rPr>
      </w:pPr>
      <w:r>
        <w:rPr>
          <w:rFonts w:ascii="Arial" w:hAnsi="Arial"/>
          <w:sz w:val="28"/>
          <w:szCs w:val="28"/>
        </w:rPr>
        <w:t xml:space="preserve">Les précisions terminologiques </w:t>
      </w:r>
    </w:p>
    <w:p w:rsidR="003B27C6" w:rsidRPr="003B27C6" w:rsidRDefault="003B27C6" w:rsidP="003B27C6">
      <w:pPr>
        <w:pStyle w:val="Paragraphedeliste"/>
        <w:numPr>
          <w:ilvl w:val="0"/>
          <w:numId w:val="9"/>
        </w:numPr>
        <w:spacing w:after="0" w:line="240" w:lineRule="auto"/>
        <w:rPr>
          <w:rFonts w:ascii="Arial" w:hAnsi="Arial"/>
          <w:sz w:val="28"/>
          <w:szCs w:val="28"/>
        </w:rPr>
      </w:pPr>
      <w:r>
        <w:rPr>
          <w:rFonts w:ascii="Arial" w:hAnsi="Arial"/>
          <w:sz w:val="28"/>
          <w:szCs w:val="28"/>
        </w:rPr>
        <w:t xml:space="preserve">La clause de droit applicable </w:t>
      </w:r>
    </w:p>
    <w:p w:rsidR="003B27C6" w:rsidRPr="003B27C6" w:rsidRDefault="003B27C6" w:rsidP="003B27C6">
      <w:pPr>
        <w:pStyle w:val="Paragraphedeliste"/>
        <w:numPr>
          <w:ilvl w:val="0"/>
          <w:numId w:val="9"/>
        </w:numPr>
        <w:spacing w:after="0" w:line="240" w:lineRule="auto"/>
        <w:rPr>
          <w:rFonts w:ascii="Arial" w:hAnsi="Arial"/>
          <w:sz w:val="28"/>
          <w:szCs w:val="28"/>
        </w:rPr>
      </w:pPr>
      <w:r w:rsidRPr="003B27C6">
        <w:rPr>
          <w:rFonts w:ascii="Arial" w:hAnsi="Arial"/>
          <w:sz w:val="28"/>
          <w:szCs w:val="28"/>
        </w:rPr>
        <w:t>La clause de risque de change</w:t>
      </w:r>
    </w:p>
    <w:p w:rsidR="003B27C6" w:rsidRPr="003B27C6" w:rsidRDefault="003B27C6" w:rsidP="003B27C6">
      <w:pPr>
        <w:pStyle w:val="Paragraphedeliste"/>
        <w:numPr>
          <w:ilvl w:val="0"/>
          <w:numId w:val="9"/>
        </w:numPr>
        <w:spacing w:after="0" w:line="240" w:lineRule="auto"/>
        <w:rPr>
          <w:rFonts w:ascii="Arial" w:hAnsi="Arial"/>
          <w:sz w:val="28"/>
          <w:szCs w:val="28"/>
        </w:rPr>
      </w:pPr>
      <w:r w:rsidRPr="003B27C6">
        <w:rPr>
          <w:rFonts w:ascii="Arial" w:hAnsi="Arial"/>
          <w:sz w:val="28"/>
          <w:szCs w:val="28"/>
        </w:rPr>
        <w:t xml:space="preserve">Les clauses de stabilisation et clauses de gel- </w:t>
      </w:r>
      <w:r>
        <w:rPr>
          <w:rFonts w:ascii="Arial" w:hAnsi="Arial"/>
          <w:sz w:val="28"/>
          <w:szCs w:val="28"/>
        </w:rPr>
        <w:t xml:space="preserve">clauses de </w:t>
      </w:r>
      <w:r w:rsidRPr="003B27C6">
        <w:rPr>
          <w:rFonts w:ascii="Arial" w:hAnsi="Arial"/>
          <w:sz w:val="28"/>
          <w:szCs w:val="28"/>
        </w:rPr>
        <w:t>hardship).</w:t>
      </w:r>
    </w:p>
    <w:p w:rsidR="003B27C6" w:rsidRPr="003B27C6" w:rsidRDefault="003B27C6" w:rsidP="003B27C6">
      <w:pPr>
        <w:pStyle w:val="Paragraphedeliste"/>
        <w:numPr>
          <w:ilvl w:val="0"/>
          <w:numId w:val="8"/>
        </w:numPr>
        <w:spacing w:after="0" w:line="240" w:lineRule="auto"/>
        <w:rPr>
          <w:rFonts w:ascii="Arial" w:hAnsi="Arial"/>
          <w:sz w:val="28"/>
          <w:szCs w:val="28"/>
        </w:rPr>
      </w:pPr>
      <w:r w:rsidRPr="003B27C6">
        <w:rPr>
          <w:rFonts w:ascii="Arial" w:hAnsi="Arial"/>
          <w:sz w:val="28"/>
          <w:szCs w:val="28"/>
        </w:rPr>
        <w:t>Les incoterms 2010.</w:t>
      </w:r>
    </w:p>
    <w:p w:rsidR="003B27C6" w:rsidRPr="003B27C6" w:rsidRDefault="003B27C6" w:rsidP="003B27C6">
      <w:pPr>
        <w:spacing w:after="0" w:line="240" w:lineRule="auto"/>
        <w:ind w:left="-284"/>
        <w:rPr>
          <w:rFonts w:ascii="Arial" w:hAnsi="Arial"/>
          <w:sz w:val="28"/>
          <w:szCs w:val="28"/>
        </w:rPr>
      </w:pPr>
      <w:r w:rsidRPr="003B27C6">
        <w:rPr>
          <w:rFonts w:ascii="Arial" w:hAnsi="Arial"/>
          <w:sz w:val="28"/>
          <w:szCs w:val="28"/>
        </w:rPr>
        <w:t xml:space="preserve">                </w:t>
      </w:r>
    </w:p>
    <w:p w:rsidR="003B27C6" w:rsidRPr="003B27C6" w:rsidRDefault="003B27C6" w:rsidP="003B27C6">
      <w:pPr>
        <w:pStyle w:val="Paragraphedeliste"/>
        <w:numPr>
          <w:ilvl w:val="0"/>
          <w:numId w:val="8"/>
        </w:numPr>
        <w:spacing w:after="0" w:line="240" w:lineRule="auto"/>
        <w:rPr>
          <w:rFonts w:ascii="Arial" w:hAnsi="Arial"/>
          <w:sz w:val="28"/>
          <w:szCs w:val="28"/>
        </w:rPr>
      </w:pPr>
      <w:r w:rsidRPr="003B27C6">
        <w:rPr>
          <w:rFonts w:ascii="Arial" w:hAnsi="Arial"/>
          <w:sz w:val="28"/>
          <w:szCs w:val="28"/>
        </w:rPr>
        <w:t>Le règlement des différends dans les contrats internationaux :</w:t>
      </w:r>
    </w:p>
    <w:p w:rsidR="003B27C6" w:rsidRPr="003B27C6" w:rsidRDefault="003B27C6" w:rsidP="003B27C6">
      <w:pPr>
        <w:pStyle w:val="Paragraphedeliste"/>
        <w:numPr>
          <w:ilvl w:val="0"/>
          <w:numId w:val="10"/>
        </w:numPr>
        <w:spacing w:after="0" w:line="240" w:lineRule="auto"/>
        <w:rPr>
          <w:rFonts w:ascii="Arial" w:hAnsi="Arial"/>
          <w:sz w:val="28"/>
          <w:szCs w:val="28"/>
        </w:rPr>
      </w:pPr>
      <w:r w:rsidRPr="003B27C6">
        <w:rPr>
          <w:rFonts w:ascii="Arial" w:hAnsi="Arial"/>
          <w:sz w:val="28"/>
          <w:szCs w:val="28"/>
        </w:rPr>
        <w:t xml:space="preserve">La clause de compétence juridictionnelle                                 </w:t>
      </w:r>
    </w:p>
    <w:p w:rsidR="003B27C6" w:rsidRDefault="003B27C6" w:rsidP="003B27C6">
      <w:pPr>
        <w:pStyle w:val="Paragraphedeliste"/>
        <w:numPr>
          <w:ilvl w:val="0"/>
          <w:numId w:val="10"/>
        </w:numPr>
        <w:spacing w:after="0" w:line="240" w:lineRule="auto"/>
        <w:rPr>
          <w:rFonts w:ascii="Arial" w:hAnsi="Arial"/>
          <w:sz w:val="28"/>
          <w:szCs w:val="28"/>
        </w:rPr>
      </w:pPr>
      <w:r w:rsidRPr="003B27C6">
        <w:rPr>
          <w:rFonts w:ascii="Arial" w:hAnsi="Arial"/>
          <w:sz w:val="28"/>
          <w:szCs w:val="28"/>
        </w:rPr>
        <w:t xml:space="preserve">L’arbitrage commercial international </w:t>
      </w:r>
    </w:p>
    <w:p w:rsidR="00E840D6" w:rsidRDefault="00E840D6" w:rsidP="00E840D6">
      <w:pPr>
        <w:spacing w:after="0" w:line="240" w:lineRule="auto"/>
        <w:rPr>
          <w:rFonts w:ascii="Arial" w:hAnsi="Arial"/>
          <w:sz w:val="28"/>
          <w:szCs w:val="28"/>
        </w:rPr>
      </w:pPr>
    </w:p>
    <w:p w:rsidR="00E840D6" w:rsidRDefault="00E840D6" w:rsidP="00E840D6">
      <w:pPr>
        <w:spacing w:after="0" w:line="240" w:lineRule="auto"/>
        <w:rPr>
          <w:rFonts w:ascii="Arial" w:hAnsi="Arial"/>
          <w:sz w:val="28"/>
          <w:szCs w:val="28"/>
        </w:rPr>
      </w:pPr>
    </w:p>
    <w:p w:rsidR="00E840D6" w:rsidRPr="00E840D6" w:rsidRDefault="00E840D6" w:rsidP="00E840D6">
      <w:pPr>
        <w:spacing w:after="0" w:line="240" w:lineRule="auto"/>
        <w:rPr>
          <w:rFonts w:ascii="Arial" w:hAnsi="Arial"/>
          <w:sz w:val="28"/>
          <w:szCs w:val="28"/>
        </w:rPr>
      </w:pPr>
    </w:p>
    <w:tbl>
      <w:tblPr>
        <w:tblW w:w="5000" w:type="pct"/>
        <w:tblCellSpacing w:w="15" w:type="dxa"/>
        <w:tblCellMar>
          <w:top w:w="15" w:type="dxa"/>
          <w:left w:w="15" w:type="dxa"/>
          <w:bottom w:w="15" w:type="dxa"/>
          <w:right w:w="15" w:type="dxa"/>
        </w:tblCellMar>
        <w:tblLook w:val="00A0"/>
      </w:tblPr>
      <w:tblGrid>
        <w:gridCol w:w="262"/>
        <w:gridCol w:w="248"/>
        <w:gridCol w:w="8227"/>
      </w:tblGrid>
      <w:tr w:rsidR="00D02369" w:rsidRPr="00A768E3" w:rsidTr="009461C6">
        <w:trPr>
          <w:tblCellSpacing w:w="15" w:type="dxa"/>
        </w:trPr>
        <w:tc>
          <w:tcPr>
            <w:tcW w:w="0" w:type="auto"/>
            <w:vAlign w:val="center"/>
          </w:tcPr>
          <w:p w:rsidR="00D02369" w:rsidRPr="00A768E3" w:rsidRDefault="00D02369" w:rsidP="009461C6">
            <w:pPr>
              <w:spacing w:after="0" w:line="240" w:lineRule="auto"/>
              <w:rPr>
                <w:rFonts w:ascii="Arial" w:hAnsi="Arial"/>
                <w:sz w:val="24"/>
                <w:szCs w:val="24"/>
              </w:rPr>
            </w:pPr>
            <w:r w:rsidRPr="00A768E3">
              <w:rPr>
                <w:rFonts w:ascii="Arial" w:hAnsi="Arial"/>
                <w:sz w:val="24"/>
                <w:szCs w:val="24"/>
              </w:rPr>
              <w:t>  </w:t>
            </w:r>
          </w:p>
        </w:tc>
        <w:tc>
          <w:tcPr>
            <w:tcW w:w="0" w:type="auto"/>
            <w:vAlign w:val="center"/>
          </w:tcPr>
          <w:p w:rsidR="00D02369" w:rsidRPr="00A768E3" w:rsidRDefault="00D02369" w:rsidP="009461C6">
            <w:pPr>
              <w:spacing w:after="0" w:line="240" w:lineRule="auto"/>
              <w:jc w:val="center"/>
              <w:rPr>
                <w:rFonts w:ascii="Arial" w:hAnsi="Arial"/>
                <w:sz w:val="24"/>
                <w:szCs w:val="24"/>
              </w:rPr>
            </w:pPr>
            <w:r w:rsidRPr="00A768E3">
              <w:rPr>
                <w:rFonts w:ascii="Arial" w:hAnsi="Arial"/>
                <w:sz w:val="24"/>
                <w:szCs w:val="24"/>
              </w:rPr>
              <w:t>  </w:t>
            </w:r>
          </w:p>
        </w:tc>
        <w:tc>
          <w:tcPr>
            <w:tcW w:w="0" w:type="auto"/>
            <w:vAlign w:val="center"/>
          </w:tcPr>
          <w:p w:rsidR="009225D3" w:rsidRPr="009225D3" w:rsidRDefault="00D02369" w:rsidP="009225D3">
            <w:pPr>
              <w:spacing w:before="100" w:beforeAutospacing="1" w:after="100" w:afterAutospacing="1" w:line="240" w:lineRule="auto"/>
              <w:rPr>
                <w:b/>
                <w:bCs/>
                <w:shadow/>
              </w:rPr>
            </w:pPr>
            <w:r w:rsidRPr="009225D3">
              <w:rPr>
                <w:rFonts w:ascii="Arial" w:hAnsi="Arial"/>
                <w:b/>
                <w:bCs/>
                <w:color w:val="244061" w:themeColor="accent1" w:themeShade="80"/>
                <w:sz w:val="24"/>
                <w:szCs w:val="24"/>
              </w:rPr>
              <w:t>Pour plus de renseignements, merci de contacter:</w:t>
            </w:r>
            <w:r w:rsidRPr="009225D3">
              <w:rPr>
                <w:rFonts w:ascii="Arial" w:hAnsi="Arial"/>
                <w:b/>
                <w:bCs/>
                <w:color w:val="244061" w:themeColor="accent1" w:themeShade="80"/>
                <w:sz w:val="24"/>
                <w:szCs w:val="24"/>
              </w:rPr>
              <w:br/>
            </w:r>
            <w:r w:rsidRPr="00A768E3">
              <w:rPr>
                <w:rFonts w:ascii="Arial" w:hAnsi="Arial"/>
                <w:sz w:val="24"/>
                <w:szCs w:val="24"/>
              </w:rPr>
              <w:br/>
            </w:r>
            <w:r w:rsidRPr="009225D3">
              <w:rPr>
                <w:rFonts w:ascii="Arial" w:hAnsi="Arial"/>
                <w:b/>
                <w:bCs/>
                <w:color w:val="244061" w:themeColor="accent1" w:themeShade="80"/>
                <w:sz w:val="24"/>
                <w:szCs w:val="24"/>
              </w:rPr>
              <w:t>Tel</w:t>
            </w:r>
            <w:r w:rsidRPr="00A768E3">
              <w:rPr>
                <w:rFonts w:ascii="Arial" w:hAnsi="Arial"/>
                <w:b/>
                <w:bCs/>
                <w:color w:val="000080"/>
                <w:sz w:val="24"/>
                <w:szCs w:val="24"/>
              </w:rPr>
              <w:t>:</w:t>
            </w:r>
            <w:r w:rsidR="00E840D6">
              <w:rPr>
                <w:rFonts w:ascii="Arial" w:hAnsi="Arial"/>
                <w:b/>
                <w:bCs/>
                <w:color w:val="000080"/>
                <w:sz w:val="24"/>
                <w:szCs w:val="24"/>
              </w:rPr>
              <w:t xml:space="preserve"> </w:t>
            </w:r>
            <w:r w:rsidR="00E840D6" w:rsidRPr="00CA42DA">
              <w:rPr>
                <w:rFonts w:asciiTheme="minorBidi" w:hAnsiTheme="minorBidi"/>
                <w:shadow/>
              </w:rPr>
              <w:t>(031) 93-59-23 -   (031) 93-19-65</w:t>
            </w:r>
            <w:r w:rsidR="00E840D6" w:rsidRPr="00236040">
              <w:rPr>
                <w:b/>
                <w:bCs/>
                <w:shadow/>
              </w:rPr>
              <w:t xml:space="preserve">        </w:t>
            </w:r>
            <w:r w:rsidR="009225D3" w:rsidRPr="009225D3">
              <w:rPr>
                <w:rFonts w:asciiTheme="minorBidi" w:hAnsiTheme="minorBidi"/>
                <w:b/>
                <w:bCs/>
                <w:shadow/>
                <w:color w:val="244061" w:themeColor="accent1" w:themeShade="80"/>
              </w:rPr>
              <w:t>Fax</w:t>
            </w:r>
            <w:r w:rsidR="009225D3">
              <w:rPr>
                <w:rFonts w:asciiTheme="minorBidi" w:hAnsiTheme="minorBidi"/>
                <w:b/>
                <w:bCs/>
                <w:shadow/>
                <w:color w:val="244061" w:themeColor="accent1" w:themeShade="80"/>
              </w:rPr>
              <w:t> </w:t>
            </w:r>
            <w:r w:rsidR="009225D3" w:rsidRPr="00CA42DA">
              <w:rPr>
                <w:rFonts w:asciiTheme="minorBidi" w:hAnsiTheme="minorBidi"/>
                <w:shadow/>
                <w:color w:val="244061" w:themeColor="accent1" w:themeShade="80"/>
              </w:rPr>
              <w:t xml:space="preserve">: </w:t>
            </w:r>
            <w:r w:rsidR="009225D3" w:rsidRPr="00CA42DA">
              <w:rPr>
                <w:rFonts w:asciiTheme="minorBidi" w:hAnsiTheme="minorBidi"/>
                <w:shadow/>
              </w:rPr>
              <w:t>(031) 93-78-07</w:t>
            </w:r>
            <w:r w:rsidR="009225D3" w:rsidRPr="00236040">
              <w:rPr>
                <w:b/>
                <w:bCs/>
                <w:shadow/>
              </w:rPr>
              <w:t xml:space="preserve">           </w:t>
            </w:r>
          </w:p>
          <w:p w:rsidR="00D02369" w:rsidRPr="00A768E3" w:rsidRDefault="00D02369" w:rsidP="009461C6">
            <w:pPr>
              <w:spacing w:before="100" w:beforeAutospacing="1" w:after="100" w:afterAutospacing="1" w:line="240" w:lineRule="auto"/>
              <w:rPr>
                <w:rFonts w:ascii="Arial" w:hAnsi="Arial"/>
                <w:sz w:val="24"/>
                <w:szCs w:val="24"/>
              </w:rPr>
            </w:pPr>
            <w:r w:rsidRPr="009225D3">
              <w:rPr>
                <w:rFonts w:ascii="Arial" w:hAnsi="Arial"/>
                <w:b/>
                <w:bCs/>
                <w:color w:val="244061" w:themeColor="accent1" w:themeShade="80"/>
                <w:sz w:val="24"/>
                <w:szCs w:val="24"/>
              </w:rPr>
              <w:t>Email</w:t>
            </w:r>
            <w:r w:rsidR="00E840D6" w:rsidRPr="00A768E3">
              <w:rPr>
                <w:rFonts w:ascii="Arial" w:hAnsi="Arial"/>
                <w:b/>
                <w:bCs/>
                <w:color w:val="000080"/>
                <w:sz w:val="24"/>
                <w:szCs w:val="24"/>
              </w:rPr>
              <w:t>:</w:t>
            </w:r>
            <w:r w:rsidR="00E840D6">
              <w:rPr>
                <w:rFonts w:ascii="Arial" w:hAnsi="Arial"/>
                <w:b/>
                <w:bCs/>
                <w:color w:val="000080"/>
                <w:sz w:val="24"/>
                <w:szCs w:val="24"/>
              </w:rPr>
              <w:t xml:space="preserve"> </w:t>
            </w:r>
            <w:r w:rsidR="00E840D6" w:rsidRPr="00CA42DA">
              <w:rPr>
                <w:rFonts w:asciiTheme="minorBidi" w:hAnsiTheme="minorBidi"/>
                <w:bCs/>
                <w:shadow/>
              </w:rPr>
              <w:t>cci-</w:t>
            </w:r>
            <w:r w:rsidR="00CA42DA" w:rsidRPr="00CA42DA">
              <w:rPr>
                <w:rFonts w:asciiTheme="minorBidi" w:hAnsiTheme="minorBidi"/>
                <w:bCs/>
                <w:shadow/>
              </w:rPr>
              <w:t>rhume</w:t>
            </w:r>
            <w:r w:rsidR="00CA42DA">
              <w:rPr>
                <w:rFonts w:asciiTheme="minorBidi" w:hAnsiTheme="minorBidi"/>
                <w:bCs/>
                <w:shadow/>
              </w:rPr>
              <w:t>l@</w:t>
            </w:r>
            <w:r w:rsidR="00E840D6" w:rsidRPr="00CA42DA">
              <w:rPr>
                <w:rFonts w:asciiTheme="minorBidi" w:hAnsiTheme="minorBidi"/>
                <w:bCs/>
                <w:shadow/>
              </w:rPr>
              <w:t>caci.dz  /ccirhumel@yahoo.fr</w:t>
            </w:r>
          </w:p>
        </w:tc>
      </w:tr>
    </w:tbl>
    <w:p w:rsidR="003B27C6" w:rsidRPr="003B27C6" w:rsidRDefault="003B27C6" w:rsidP="00B32559">
      <w:pPr>
        <w:ind w:left="-567" w:hanging="284"/>
        <w:rPr>
          <w:b/>
          <w:bCs/>
          <w:i/>
          <w:iCs/>
          <w:color w:val="FF0000"/>
          <w:sz w:val="28"/>
          <w:szCs w:val="24"/>
        </w:rPr>
      </w:pPr>
    </w:p>
    <w:p w:rsidR="00A403CD" w:rsidRPr="00A403CD" w:rsidRDefault="000C1632" w:rsidP="00A403CD">
      <w:pPr>
        <w:jc w:val="center"/>
        <w:rPr>
          <w:sz w:val="36"/>
          <w:szCs w:val="36"/>
        </w:rPr>
      </w:pPr>
      <w:r>
        <w:rPr>
          <w:noProof/>
          <w:sz w:val="36"/>
          <w:szCs w:val="36"/>
        </w:rPr>
        <w:lastRenderedPageBreak/>
        <w:pict>
          <v:shapetype id="_x0000_t202" coordsize="21600,21600" o:spt="202" path="m,l,21600r21600,l21600,xe">
            <v:stroke joinstyle="miter"/>
            <v:path gradientshapeok="t" o:connecttype="rect"/>
          </v:shapetype>
          <v:shape id="_x0000_s1027" type="#_x0000_t202" style="position:absolute;left:0;text-align:left;margin-left:45.45pt;margin-top:-26.6pt;width:337.5pt;height:32.25pt;z-index:251659264" filled="f" stroked="f">
            <v:textbox>
              <w:txbxContent>
                <w:p w:rsidR="000C1632" w:rsidRPr="00116743" w:rsidRDefault="000C1632" w:rsidP="000C1632">
                  <w:pPr>
                    <w:pStyle w:val="Titre1"/>
                    <w:rPr>
                      <w:shadow/>
                      <w:emboss/>
                      <w:color w:val="8DB3E2" w:themeColor="text2" w:themeTint="66"/>
                      <w:w w:val="200"/>
                    </w:rPr>
                  </w:pPr>
                  <w:r w:rsidRPr="000C1632">
                    <w:rPr>
                      <w:emboss/>
                      <w:color w:val="8DB3E2" w:themeColor="text2" w:themeTint="66"/>
                      <w:w w:val="200"/>
                      <w:sz w:val="40"/>
                      <w:szCs w:val="40"/>
                    </w:rPr>
                    <w:t>Curriculum vitae</w:t>
                  </w:r>
                </w:p>
                <w:p w:rsidR="000C1632" w:rsidRDefault="000C1632"/>
              </w:txbxContent>
            </v:textbox>
          </v:shape>
        </w:pict>
      </w:r>
    </w:p>
    <w:p w:rsidR="00000000" w:rsidRDefault="000C1632" w:rsidP="000C1632">
      <w:pPr>
        <w:jc w:val="center"/>
      </w:pPr>
      <w:r>
        <w:rPr>
          <w:noProof/>
        </w:rPr>
        <w:drawing>
          <wp:inline distT="0" distB="0" distL="0" distR="0">
            <wp:extent cx="1247775" cy="1600200"/>
            <wp:effectExtent l="19050" t="0" r="95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cstate="print"/>
                    <a:srcRect/>
                    <a:stretch>
                      <a:fillRect/>
                    </a:stretch>
                  </pic:blipFill>
                  <pic:spPr bwMode="auto">
                    <a:xfrm>
                      <a:off x="0" y="0"/>
                      <a:ext cx="1247775" cy="1600200"/>
                    </a:xfrm>
                    <a:prstGeom prst="rect">
                      <a:avLst/>
                    </a:prstGeom>
                    <a:noFill/>
                    <a:ln w="9525">
                      <a:noFill/>
                      <a:miter lim="800000"/>
                      <a:headEnd/>
                      <a:tailEnd/>
                    </a:ln>
                  </pic:spPr>
                </pic:pic>
              </a:graphicData>
            </a:graphic>
          </wp:inline>
        </w:drawing>
      </w:r>
    </w:p>
    <w:p w:rsidR="000C1632" w:rsidRDefault="008339B5" w:rsidP="00485E97">
      <w:pPr>
        <w:jc w:val="center"/>
        <w:rPr>
          <w:b/>
          <w:bCs/>
          <w:sz w:val="28"/>
          <w:szCs w:val="28"/>
        </w:rPr>
      </w:pPr>
      <w:r>
        <w:rPr>
          <w:b/>
          <w:bCs/>
          <w:sz w:val="28"/>
          <w:szCs w:val="28"/>
        </w:rPr>
        <w:t xml:space="preserve">Mr.  </w:t>
      </w:r>
      <w:r w:rsidR="000C1632" w:rsidRPr="000C1632">
        <w:rPr>
          <w:b/>
          <w:bCs/>
          <w:sz w:val="28"/>
          <w:szCs w:val="28"/>
        </w:rPr>
        <w:t xml:space="preserve">LEZZAR </w:t>
      </w:r>
      <w:proofErr w:type="spellStart"/>
      <w:r w:rsidR="00485E97">
        <w:rPr>
          <w:b/>
          <w:bCs/>
          <w:sz w:val="28"/>
          <w:szCs w:val="28"/>
        </w:rPr>
        <w:t>Nasr</w:t>
      </w:r>
      <w:proofErr w:type="spellEnd"/>
      <w:r w:rsidR="00485E97">
        <w:rPr>
          <w:b/>
          <w:bCs/>
          <w:sz w:val="28"/>
          <w:szCs w:val="28"/>
        </w:rPr>
        <w:t>-Eddine</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xml:space="preserve">• </w:t>
      </w:r>
      <w:r w:rsidRPr="000C1632">
        <w:rPr>
          <w:rFonts w:asciiTheme="minorBidi" w:hAnsiTheme="minorBidi"/>
        </w:rPr>
        <w:t xml:space="preserve"> </w:t>
      </w:r>
      <w:r w:rsidRPr="000C1632">
        <w:rPr>
          <w:rFonts w:asciiTheme="minorBidi" w:hAnsiTheme="minorBidi"/>
          <w:sz w:val="24"/>
          <w:szCs w:val="24"/>
        </w:rPr>
        <w:t>Juriste d’entreprises 1981 à 1987</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Chroniqueur judiciaire en free lance depuis 1987</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Avocat au barreau en 1987. Annaba - Alger</w:t>
      </w:r>
    </w:p>
    <w:p w:rsidR="000C1632" w:rsidRPr="000C1632" w:rsidRDefault="000C1632" w:rsidP="000C1632">
      <w:pPr>
        <w:jc w:val="both"/>
        <w:rPr>
          <w:rFonts w:asciiTheme="minorBidi" w:hAnsiTheme="minorBidi"/>
          <w:sz w:val="24"/>
          <w:szCs w:val="24"/>
        </w:rPr>
      </w:pPr>
      <w:r w:rsidRPr="000C1632">
        <w:rPr>
          <w:rFonts w:asciiTheme="minorBidi" w:hAnsiTheme="minorBidi"/>
          <w:sz w:val="24"/>
          <w:szCs w:val="24"/>
        </w:rPr>
        <w:t>•  Expert long terme auprès de l’Union Européenne dans un programme de réforme de la justice. 2006-2009.</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xml:space="preserve">•  Enseignant à l’Ecole Supérieure de la Magistrature - Alger de 2006 à 2008 </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xml:space="preserve">•  Enseignant à l’Université de la Formation Continue (UFC) - Annaba. </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xml:space="preserve">•  Conçoit et anime des actions de formation consacrées au droit des affaires </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Membre fondateur du centre de conciliation et d’arbitrage de la Chambre algérienne de Commerce et d’Industrie. Membre du comité d’arbitrage. 2003</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Membre du Comité national Algérie de la Chambre de Commerce Internationale</w:t>
      </w:r>
    </w:p>
    <w:p w:rsidR="000C1632" w:rsidRPr="000C1632" w:rsidRDefault="000C1632" w:rsidP="000C1632">
      <w:pPr>
        <w:rPr>
          <w:rFonts w:asciiTheme="minorBidi" w:hAnsiTheme="minorBidi"/>
          <w:sz w:val="24"/>
          <w:szCs w:val="24"/>
        </w:rPr>
      </w:pPr>
      <w:r w:rsidRPr="000C1632">
        <w:rPr>
          <w:rFonts w:asciiTheme="minorBidi" w:hAnsiTheme="minorBidi"/>
          <w:sz w:val="24"/>
          <w:szCs w:val="24"/>
        </w:rPr>
        <w:t>•  Membre de la Cour Internationale d’Arbitrage de la Chambre de Commerce Internationale. 2009 à 2014.</w:t>
      </w:r>
    </w:p>
    <w:p w:rsidR="000C1632" w:rsidRPr="000C1632" w:rsidRDefault="000C1632" w:rsidP="000C1632">
      <w:pPr>
        <w:jc w:val="center"/>
        <w:rPr>
          <w:b/>
          <w:bCs/>
          <w:sz w:val="28"/>
          <w:szCs w:val="28"/>
        </w:rPr>
      </w:pPr>
    </w:p>
    <w:sectPr w:rsidR="000C1632" w:rsidRPr="000C1632" w:rsidSect="00A403CD">
      <w:pgSz w:w="11906" w:h="16838"/>
      <w:pgMar w:top="1417" w:right="1558" w:bottom="1417"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28C1"/>
      </v:shape>
    </w:pict>
  </w:numPicBullet>
  <w:abstractNum w:abstractNumId="0">
    <w:nsid w:val="07B4383B"/>
    <w:multiLevelType w:val="hybridMultilevel"/>
    <w:tmpl w:val="B1300CDC"/>
    <w:lvl w:ilvl="0" w:tplc="040C0005">
      <w:start w:val="1"/>
      <w:numFmt w:val="bullet"/>
      <w:lvlText w:val=""/>
      <w:lvlJc w:val="left"/>
      <w:pPr>
        <w:ind w:left="1275" w:hanging="360"/>
      </w:pPr>
      <w:rPr>
        <w:rFonts w:ascii="Wingdings" w:hAnsi="Wingdings"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
    <w:nsid w:val="0B526A9B"/>
    <w:multiLevelType w:val="hybridMultilevel"/>
    <w:tmpl w:val="BF607BB0"/>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0C8C7C38"/>
    <w:multiLevelType w:val="hybridMultilevel"/>
    <w:tmpl w:val="4CCCA3CC"/>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11C26A9B"/>
    <w:multiLevelType w:val="multilevel"/>
    <w:tmpl w:val="2746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53C71"/>
    <w:multiLevelType w:val="multilevel"/>
    <w:tmpl w:val="7B8C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47CC8"/>
    <w:multiLevelType w:val="hybridMultilevel"/>
    <w:tmpl w:val="2A88F84A"/>
    <w:lvl w:ilvl="0" w:tplc="EAE4D08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03464B"/>
    <w:multiLevelType w:val="hybridMultilevel"/>
    <w:tmpl w:val="81B218FA"/>
    <w:lvl w:ilvl="0" w:tplc="040C0005">
      <w:start w:val="1"/>
      <w:numFmt w:val="bullet"/>
      <w:lvlText w:val=""/>
      <w:lvlJc w:val="left"/>
      <w:pPr>
        <w:ind w:left="1275" w:hanging="360"/>
      </w:pPr>
      <w:rPr>
        <w:rFonts w:ascii="Wingdings" w:hAnsi="Wingdings"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7">
    <w:nsid w:val="6CEE480D"/>
    <w:multiLevelType w:val="hybridMultilevel"/>
    <w:tmpl w:val="56CAFA32"/>
    <w:lvl w:ilvl="0" w:tplc="040C0007">
      <w:start w:val="1"/>
      <w:numFmt w:val="bullet"/>
      <w:lvlText w:val=""/>
      <w:lvlPicBulletId w:val="0"/>
      <w:lvlJc w:val="left"/>
      <w:pPr>
        <w:ind w:left="495" w:hanging="360"/>
      </w:pPr>
      <w:rPr>
        <w:rFonts w:ascii="Symbol" w:hAnsi="Symbo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8">
    <w:nsid w:val="6D0F2E8A"/>
    <w:multiLevelType w:val="hybridMultilevel"/>
    <w:tmpl w:val="AA9EF1F6"/>
    <w:lvl w:ilvl="0" w:tplc="040C0005">
      <w:start w:val="1"/>
      <w:numFmt w:val="bullet"/>
      <w:lvlText w:val=""/>
      <w:lvlJc w:val="left"/>
      <w:pPr>
        <w:ind w:left="1665" w:hanging="360"/>
      </w:pPr>
      <w:rPr>
        <w:rFonts w:ascii="Wingdings" w:hAnsi="Wingdings"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9">
    <w:nsid w:val="7DD52C24"/>
    <w:multiLevelType w:val="hybridMultilevel"/>
    <w:tmpl w:val="48C6444A"/>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9"/>
  </w:num>
  <w:num w:numId="5">
    <w:abstractNumId w:val="2"/>
  </w:num>
  <w:num w:numId="6">
    <w:abstractNumId w:val="8"/>
  </w:num>
  <w:num w:numId="7">
    <w:abstractNumId w:val="1"/>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403CD"/>
    <w:rsid w:val="000C1632"/>
    <w:rsid w:val="001517FA"/>
    <w:rsid w:val="00332FF2"/>
    <w:rsid w:val="003B27C6"/>
    <w:rsid w:val="00485E97"/>
    <w:rsid w:val="008339B5"/>
    <w:rsid w:val="009225D3"/>
    <w:rsid w:val="00A403CD"/>
    <w:rsid w:val="00B32559"/>
    <w:rsid w:val="00BA492A"/>
    <w:rsid w:val="00BA52CC"/>
    <w:rsid w:val="00C4579A"/>
    <w:rsid w:val="00CA42DA"/>
    <w:rsid w:val="00D02369"/>
    <w:rsid w:val="00E840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B27C6"/>
    <w:pPr>
      <w:keepNext/>
      <w:spacing w:after="0" w:line="240" w:lineRule="auto"/>
      <w:outlineLvl w:val="0"/>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3CD"/>
    <w:rPr>
      <w:rFonts w:ascii="Tahoma" w:hAnsi="Tahoma" w:cs="Tahoma"/>
      <w:sz w:val="16"/>
      <w:szCs w:val="16"/>
    </w:rPr>
  </w:style>
  <w:style w:type="paragraph" w:styleId="Paragraphedeliste">
    <w:name w:val="List Paragraph"/>
    <w:basedOn w:val="Normal"/>
    <w:uiPriority w:val="34"/>
    <w:qFormat/>
    <w:rsid w:val="00B32559"/>
    <w:pPr>
      <w:ind w:left="720"/>
      <w:contextualSpacing/>
    </w:pPr>
  </w:style>
  <w:style w:type="character" w:customStyle="1" w:styleId="Titre1Car">
    <w:name w:val="Titre 1 Car"/>
    <w:basedOn w:val="Policepardfaut"/>
    <w:link w:val="Titre1"/>
    <w:rsid w:val="003B27C6"/>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FORMATION</dc:creator>
  <cp:keywords/>
  <dc:description/>
  <cp:lastModifiedBy>FORMATION</cp:lastModifiedBy>
  <cp:revision>14</cp:revision>
  <dcterms:created xsi:type="dcterms:W3CDTF">2013-11-20T08:22:00Z</dcterms:created>
  <dcterms:modified xsi:type="dcterms:W3CDTF">2013-11-20T08:52:00Z</dcterms:modified>
</cp:coreProperties>
</file>